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EVY YUNITA KURNIATI,</w:t>
      </w:r>
      <w:r>
        <w:rPr>
          <w:rFonts w:ascii="Arial"/>
          <w:spacing w:val="-24"/>
          <w:w w:val="105"/>
          <w:sz w:val="14"/>
        </w:rPr>
        <w:t> </w:t>
      </w:r>
      <w:r>
        <w:rPr>
          <w:rFonts w:ascii="Arial"/>
          <w:w w:val="105"/>
          <w:sz w:val="14"/>
        </w:rPr>
        <w:t>S.Sos.M.IP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HUBUNGAN </w:t>
      </w:r>
      <w:r>
        <w:rPr>
          <w:rFonts w:ascii="Arial"/>
          <w:spacing w:val="-3"/>
          <w:w w:val="105"/>
          <w:sz w:val="14"/>
        </w:rPr>
        <w:t>ANTAR </w:t>
      </w:r>
      <w:r>
        <w:rPr>
          <w:rFonts w:ascii="Arial"/>
          <w:w w:val="105"/>
          <w:sz w:val="14"/>
        </w:rPr>
        <w:t>KELEMBAGAAN /</w:t>
      </w:r>
      <w:r>
        <w:rPr>
          <w:rFonts w:ascii="Arial"/>
          <w:spacing w:val="-24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10:20-12:30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40902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40851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40800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407488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39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2020-05-30T05:41:39Z</dcterms:created>
  <dcterms:modified xsi:type="dcterms:W3CDTF">2020-05-30T05:41:39Z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